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8"/>
          <w:szCs w:val="28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8"/>
          <w:szCs w:val="28"/>
          <w:lang w:eastAsia="de-DE"/>
        </w:rPr>
        <w:t>Vereinssatzung des Orchesters "DIE ARCHE" e.V.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§ 1 Name und Sitz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(1) Der Verein soll Rechtsfähigkeit durch Eintragung in das Vereinsregister erlangen. Nach der Eintragung führt er den Namen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„DIE ARCHE“ e.V.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(2) Der Verein hat seinen Sitz in Rosenheim.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§ 2 Zweck und Aufgaben des Vereins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(1) Der Verein verfolgt ausschließlich und im Sinne von § 58 Nr. 1 AO mittelbar steuerbegünstigte Zwecke im Sinne des Abschnitts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"steuerbegünstigte Zwecke" der Abgabenordnung. Zweck des Vereins ist in diesem Sinne die Förderung, Erhaltung und Pflege der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Kultur im Bereich der Musik, insbesondere der Orchestermusik.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(2) Der Verein stellt sich die Aufgabe, die musikalischen Aktivitäten des Orchesters "DIE ARCHE" ideell und finanziell zu unterstützen.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Ein Schwerpunkt ist es, insbesondere Jugendliche zum gemeinschaftlichen Musizieren im Orchester anzuleiten. Ebenso will er die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kulturelle Bildungsarbeit fördern.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§ 3 Verwirklichung der Satzungszwecke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(1) Der Satzungszweck wird verwirklicht insbesondere – durch regelmäßige Probenarbeit – durch regelmäßige Konzerttätigkeit.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(2) Der Verein pflegt die Zusammenarbeit mit anderen Institutionen und Körperschaften, soweit dies zur Verwirklichung der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Satzungszwecke förderlich ist.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§ 4 Selbstlosigkeit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(1) Der Verein ist selbstlos tätig, er verfolgt nicht in erster Linie eigenwirtschaftliche Zwecke.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(2) Der Verein wird unter Wahrung der politischen und religiösen Freiheit seiner Mitglieder nach demokratischen Grundsätzen geführt.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(3) Mittel des Vereins dürfen nur für die satzungsmäßigen Zwecke verwendet werden, die Mitglieder erhalten keine Zuwendung aus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Mitteln des Vereins.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(4) Es darf keine Person durch Ausgaben, die den Zweck des Vereins fremd sind, oder durch unverhältnismäßig hohe Vergütung,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begünstigt werden.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§ 5 Erwerb und Verlust der Mitgliedschaft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(1) Der Verein hat aktive Mitglieder, fördernde Mitglieder und Ehrenmitglieder.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(2) Aktives Mitglied kann jeder werden, der an den regelmäßigen Proben und an den Veranstaltungen des Orchesters "DIE ARCHE"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teilnimmt und sich am Vereinsleben beteiligt.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(3) Förderndes Mitglied kann jeder werden, der bestrebt ist, die Vereinszwecke zu fördern und zu unterstützen. Dazu gehören auch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Verbände und Organisationen, gesellschaftliche Personenzusammenschlüsse, Firmen und sonstige juristische Personen des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öffentlichen und privaten Rechts.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(4) Ehrenmitglieder können Personen werden, die sich um den Verein besondere Verdienste erworben haben. Die Ernennung erfolgt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durch Beschlu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ss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des Vorstands.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(5) Über die Aufnahme entscheidet der Vorstand auf schriftlichen Antrag. Ein Anspruch auf Aufnahme in den Verein besteht nicht.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(6) Die Mitgliedschaft endet durch freiwilligen Austritt, Ausschlu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ss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, Tod, oder durch Auflösung im Falle der Mitgliedschaft von Firmen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oder Körperschaften. Der Austritt ist schriftlich gegenüber dem Vorstand zu erklären und ist nur zum Ende des Kalenderjahres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unter Einhaltung einer Frist von drei Monaten zulässig. Verstößt ein Mitglied gegen die Interessen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lastRenderedPageBreak/>
        <w:t>oder das Ansehen des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Vereins, so kann es auf Beschlu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ss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des Vorstandes ausgeschlossen werden. Gegen den Ausschlu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ss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kann innerhalb einer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Woche schriftlicher Einspruch erhoben werden. Über den Einspruch entscheidet die Mitgliederversammlung endgültig.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§ 6 Rechte und Pflichten der Mitglieder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(1) Rechte: Die Mitglieder nehmen an der Mitgliederversammlung teil und haben das Recht der Antragstellung, Abstimmung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und das aktive Wahlrecht. Gewählt werden können alle Mitglieder, die das 18. Lebensjahr vollendet haben.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(2) Pflichten: Als Mitgliedsbeiträge der aktiven Mitglieder sind die Beiträge zu rechnen, die bei Veranstaltungen der Vereinskasse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zufließen. Ein besonderer Beitrag der aktiven Mitglieder ist nicht vorgesehen. Die fördernden Mitglieder sind verpflichtet,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die von der Mitgliederversammlung festgesetzten Beiträge pünktlich zu entrichten.</w:t>
      </w:r>
      <w:r w:rsidR="006E02F1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Der Termin für den Einzug der Mitgliedsbeiträge wird auf den Februar festgelegt (bei Vorliegen einer Einzugsermächtigung).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Ehrenmitglieder sind beitragsfrei. Jedes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Mitglied verpflichtet sich, für die Belange des Vereins einzutreten. Bei Beendigung der Mitgliedschaft ist jedes noch im Besitz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befindliche Vereinsvermögen sofort unaufgefordert zurückzugeben. Mitgliederrechte sind nicht übertragbar.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§ 7 Einnahmen und Ausgaben des Vereins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(1) Die Einnahmen des Vereins bestehen aus</w:t>
      </w:r>
    </w:p>
    <w:p w:rsidR="002E553F" w:rsidRPr="002E553F" w:rsidRDefault="002E553F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a) Beiträgen der Mitglieder, eventuellen Aufnahmegebühren</w:t>
      </w:r>
    </w:p>
    <w:p w:rsidR="002E553F" w:rsidRPr="002E553F" w:rsidRDefault="002E553F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b) Einnahmen aus Veranstaltungen</w:t>
      </w:r>
    </w:p>
    <w:p w:rsidR="002E553F" w:rsidRPr="002E553F" w:rsidRDefault="002E553F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c) Spenden und Zuschüssen</w:t>
      </w:r>
    </w:p>
    <w:p w:rsidR="002E553F" w:rsidRPr="002E553F" w:rsidRDefault="002E553F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d) sonstigen Einnahmen des Vereins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(2) Die Ausgaben bestehen aus</w:t>
      </w:r>
    </w:p>
    <w:p w:rsidR="002E553F" w:rsidRPr="002E553F" w:rsidRDefault="002E553F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a) Aufwendungen im Sinne des § 2 dieser Satzung</w:t>
      </w:r>
    </w:p>
    <w:p w:rsidR="002E553F" w:rsidRPr="002E553F" w:rsidRDefault="002E553F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b) Verwaltungsausgaben</w:t>
      </w:r>
    </w:p>
    <w:p w:rsidR="002E553F" w:rsidRPr="002E553F" w:rsidRDefault="002E553F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c) sonstigen Ausgaben 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§ 8 Organe des Vereins Organe des Vereins sind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1. die Mitgliederversammlung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2. der Vorstand.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§ 9 Die Mitgliederversammlung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(1) Die ordentliche Mitgliederversammlung mu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ss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mindestens alle drei Jahre vom Vorstand einberufen werden. Außerordentliche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Mitgliederversammlungen finden auf Grund des Beschlusses des Vorstands statt oder wenn ein Drittel der Mitglieder unter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Angabe von Gründen die Einberufung der Mitgliederversammlung verlangt. Der Vorstand lädt mindestens zwei Wochen vorher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unter Angabe der Tagesordnung schriftlich zur Mitgliederversammlung ein. Anträge müssen spätestens sieben Tage vor der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Mitgliederversammlung beim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V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orsitzenden vorliegen. Die ordnungsgemäß einberufene Mitgliederversammlung ist ohne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Rücksicht auf die Anzahl der erschienenen Mitglieder beschlu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ss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fähig.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(2) Die Mitgliederversammlung ist zuständig für die</w:t>
      </w:r>
    </w:p>
    <w:p w:rsidR="002E553F" w:rsidRPr="002E553F" w:rsidRDefault="002E553F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(a) Entgegennahme des Geschäftsberichtes und der Kassenberichte einschließlich der Berichte des Kassenprüfers</w:t>
      </w:r>
    </w:p>
    <w:p w:rsidR="002E553F" w:rsidRPr="002E553F" w:rsidRDefault="002E553F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(b) Entlastung des Vorstandes</w:t>
      </w:r>
    </w:p>
    <w:p w:rsidR="002E553F" w:rsidRPr="002E553F" w:rsidRDefault="002A6E35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</w:t>
      </w:r>
      <w:r w:rsidR="002E553F"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c) Wahl der Vorstandsmitglieder</w:t>
      </w:r>
    </w:p>
    <w:p w:rsidR="002E553F" w:rsidRPr="002E553F" w:rsidRDefault="002A6E35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lastRenderedPageBreak/>
        <w:t>(</w:t>
      </w:r>
      <w:r w:rsidR="002E553F"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d)  Festsetzung der Mitgliedsbeiträge</w:t>
      </w:r>
    </w:p>
    <w:p w:rsidR="002E553F" w:rsidRPr="002E553F" w:rsidRDefault="002A6E35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</w:t>
      </w:r>
      <w:r w:rsidR="002E553F"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e) Ergänzung und Änderung der Satzung gemäß § 14</w:t>
      </w:r>
    </w:p>
    <w:p w:rsidR="002E553F" w:rsidRPr="002E553F" w:rsidRDefault="002A6E35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</w:t>
      </w:r>
      <w:r w:rsidR="002E553F"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f) Bestellung eines Kassenprüfers für die Amtszeit des Vorstandes</w:t>
      </w:r>
    </w:p>
    <w:p w:rsidR="002E553F" w:rsidRPr="002E553F" w:rsidRDefault="002A6E35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</w:t>
      </w:r>
      <w:r w:rsidR="002E553F"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g) Erledigung der gestellten Anträge.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(3) Bei allen Wahlen und Beschlüssen genügt die einfache Mehrheit. Wahlen sind grundsätzlich geheim.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(4) Über den Verlauf der Mitgliederversammlung und ihre Beschlüsse ist eine Niederschrift anzufertigen.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§ 10 Der Vorstand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(1) Der Vorstand besteht aus gewählten Mitgliedern und Mitgliedern von Amts wegen. Gewählte Mitglieder sind der 1. Vorsitzende</w:t>
      </w:r>
      <w:r w:rsidR="00354C2E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,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der 2. Vorsitzende</w:t>
      </w:r>
      <w:r w:rsidR="00354C2E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,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der Kassenwart</w:t>
      </w:r>
      <w:r w:rsidR="00354C2E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;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Mitglieder von Amts wegen sind der Dirigent</w:t>
      </w:r>
      <w:r w:rsidR="00354C2E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und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ein Mitglied des Orchesters.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(2) Der Vorstand wird von der Mitgliederversammlung für die Dauer von drei Jahren, vom Tage der Wahl an gerechnet, gewählt; er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bleibt jedoch bis zur Neuwahl des Vorstandes im Amt. Wiederwahl ist möglich. Jedes Vorstandsmitglied ist einzeln zu wählen.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§ 11 Aufgaben des Vorstandes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(1) Der Vorstand ist für alle Angelegenheiten des Vereins zuständig, soweit sie nicht kraft Gesetzes oder aufgrund dieser Satzung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anderen Organen des Vereins zugewiesen sind.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(2) Vorstandsmitglieder haften nicht über das Vereinsvermögen hinaus in ihr privates Vermögen. Vertretungsberechtigter Vorstand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im Sinne des §26 BGB sind der 1. Vorsitzende und der Dirigent, je allein.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(3) Dem Vorstand obliegen insbesondere folgende Aufgaben</w:t>
      </w:r>
    </w:p>
    <w:p w:rsidR="002E553F" w:rsidRPr="002E553F" w:rsidRDefault="002E553F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a. Vorbereitung und Einberufung der Mitgliederversammlung samt Aufstellung der Tagesordnung</w:t>
      </w:r>
    </w:p>
    <w:p w:rsidR="002E553F" w:rsidRPr="002E553F" w:rsidRDefault="002E553F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b. Ausführung der Beschlüsse der Mitgliederversammlung</w:t>
      </w:r>
    </w:p>
    <w:p w:rsidR="002E553F" w:rsidRPr="002E553F" w:rsidRDefault="002E553F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c. die Vertretung des Vereins, soweit dies gesetzlich zulässig ist</w:t>
      </w:r>
    </w:p>
    <w:p w:rsidR="002E553F" w:rsidRPr="002E553F" w:rsidRDefault="002E553F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d. die Rechnungslegung (Buchführung, Jahresabschlu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ss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, Steuererklärungen) einschließlich Erstellung eines Jahresberichtes</w:t>
      </w:r>
    </w:p>
    <w:p w:rsidR="002E553F" w:rsidRPr="002E553F" w:rsidRDefault="002E553F" w:rsidP="002E553F">
      <w:pPr>
        <w:ind w:left="1416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e. die Beschluss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fassung über die Aufnahme und über den Ausschlu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ss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von Mitgliedern.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§ 12 Rechnungslegung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(1) Das Geschäftsjahr des Vereins ist das Kalenderjahr.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(2) Die Rechnungslegung, bestehend aus Buchführung, Jahresabschlu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ss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und etwaigen Steuererklärungen, erfolgt nach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ertragssteuerlichen Regeln, soweit nicht vereinsrechtliche oder handelsrechtliche Vorschriften zwingend vorgehen.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(3) Der Jahresabschlu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ss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mit Erläuterungen ist in Form einer </w:t>
      </w:r>
      <w:proofErr w:type="gramStart"/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Einnahmen</w:t>
      </w:r>
      <w:proofErr w:type="gramEnd"/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- Ausgaben - </w:t>
      </w:r>
      <w:proofErr w:type="spellStart"/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Überschu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ss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rechung</w:t>
      </w:r>
      <w:proofErr w:type="spellEnd"/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zu erstellen, soweit dies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gesetzlich zulässig ist. Die Rechnungslegung ist am Ende jeden Vereinsjahres vom Kassenprüfer zu überprüfen.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§ 13 Kassenprüfer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(1) Die Mitgliederversammlung bestellt einen Kassenprüfer. Er hat die gleiche Amtszeit wie der Vorstand.</w:t>
      </w:r>
    </w:p>
    <w:p w:rsidR="002E553F" w:rsidRP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lastRenderedPageBreak/>
        <w:t>(2) Der Kassenprüfer hat die Rechnungslegung und Geschäftsführung zu prüfen. Über die Prüfung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s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tätigkeit ist ein Ergebnisprotokoll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anzufertigen mit einem Vorschlag an die Mitgliederversammlung zur Frage der Entlastung.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§ 14 Ergänzungen und Änderungen der Satzung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Ergänzungen und Änderungen der Satzung sind nur mit Zweidrittelmehrheit der erschienenen Mitglieder möglich.</w:t>
      </w:r>
    </w:p>
    <w:p w:rsidR="002E553F" w:rsidRPr="002E553F" w:rsidRDefault="002E553F" w:rsidP="002E553F">
      <w:pP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§ 15 Auflösung des Vereins</w:t>
      </w:r>
    </w:p>
    <w:p w:rsidR="002E553F" w:rsidRPr="002E553F" w:rsidRDefault="002A6E35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(1) Die Auflösung des</w:t>
      </w:r>
      <w:bookmarkStart w:id="0" w:name="_GoBack"/>
      <w:bookmarkEnd w:id="0"/>
      <w:r w:rsidR="002E553F"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Vereins kann nur in einer Mitgliederversammlung mit der Mehrheit von 2/3 der anwesenden Mitglieder</w:t>
      </w:r>
      <w:r w:rsid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="002E553F"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beschlossen werden. Sofern die Mitgliederversammlung nichts anderes beschließt, sind der 1. und 2. Vorsitzende gemeinsam</w:t>
      </w:r>
      <w:r w:rsid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="002E553F"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vertretungsberechtigte Liquidatoren.</w:t>
      </w:r>
    </w:p>
    <w:p w:rsidR="006E02F1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(2) Bei Auflösung des Vereins oder bei Wegfall steuerbegünstigter Zwecke </w:t>
      </w:r>
      <w:r w:rsidR="006E02F1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fällt das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Vermögen </w:t>
      </w:r>
      <w:r w:rsidR="006E02F1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des Vereins an die Musikschule Rosenheim e.V., Ludwigsplatz 15, 83022 Rosenheim, die es ausschließlich für kulturelle, gemeinnützige oder mildtätige Zwecke zu verwenden hat. </w:t>
      </w:r>
    </w:p>
    <w:p w:rsidR="002E553F" w:rsidRDefault="002E553F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(3) Die vorstehenden Vorschriften gelte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n entsprechend für den Fall, dass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der Verein aus einem anderen Grund aufgelöst wird oder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seine Rechtsfähigkeit verliert. Die vorstehende Satzung wurde in der Gründungsversammlung vom 2. Februar 1997 in Rosenheim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 xml:space="preserve"> </w:t>
      </w:r>
      <w:r w:rsidRPr="002E553F"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errichtet.</w:t>
      </w:r>
    </w:p>
    <w:p w:rsidR="00EA4110" w:rsidRPr="002E553F" w:rsidRDefault="00EA4110" w:rsidP="002E553F">
      <w:pPr>
        <w:ind w:left="708"/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kern w:val="36"/>
          <w:sz w:val="20"/>
          <w:szCs w:val="20"/>
          <w:lang w:eastAsia="de-DE"/>
        </w:rPr>
        <w:t>Geändert am 05.08.2014</w:t>
      </w:r>
    </w:p>
    <w:p w:rsidR="00ED6DD9" w:rsidRDefault="00ED6DD9"/>
    <w:sectPr w:rsidR="00ED6DD9" w:rsidSect="00265D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53F"/>
    <w:rsid w:val="00265D42"/>
    <w:rsid w:val="002A6E35"/>
    <w:rsid w:val="002C4ABD"/>
    <w:rsid w:val="002E553F"/>
    <w:rsid w:val="00354C2E"/>
    <w:rsid w:val="0064210B"/>
    <w:rsid w:val="006E02F1"/>
    <w:rsid w:val="00EA4110"/>
    <w:rsid w:val="00ED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65D42"/>
  </w:style>
  <w:style w:type="paragraph" w:styleId="berschrift1">
    <w:name w:val="heading 1"/>
    <w:basedOn w:val="Standard"/>
    <w:link w:val="berschrift1Zchn"/>
    <w:uiPriority w:val="9"/>
    <w:qFormat/>
    <w:rsid w:val="002E5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553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2E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670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239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26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8380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07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67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74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357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907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60109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182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036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2937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72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9532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978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5031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597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0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0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79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469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160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30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2946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8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29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127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5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634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98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902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199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297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449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2037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472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95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62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686A-1B1D-4C43-B008-0FE73EB0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Schroeter</dc:creator>
  <cp:keywords/>
  <dc:description/>
  <cp:lastModifiedBy>herzog bgb</cp:lastModifiedBy>
  <cp:revision>4</cp:revision>
  <cp:lastPrinted>2014-11-16T08:21:00Z</cp:lastPrinted>
  <dcterms:created xsi:type="dcterms:W3CDTF">2014-08-13T13:28:00Z</dcterms:created>
  <dcterms:modified xsi:type="dcterms:W3CDTF">2014-11-16T08:27:00Z</dcterms:modified>
</cp:coreProperties>
</file>